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4730" w:rsidRPr="00782502" w:rsidRDefault="00BA4730" w:rsidP="00782502">
      <w:pPr>
        <w:bidi/>
        <w:spacing w:after="0" w:afterAutospacing="0" w:line="240" w:lineRule="auto"/>
        <w:ind w:left="-58" w:right="284" w:firstLine="567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ميزانية الجماعات الإقليمية هي عبارة عن جداول تقديرية لنفقات وإيرادات، تمنح لها فترة زمنية مستقبلية لتنفيذها، وعادة ما تكون سنة، كآلية هامة في تسيير المصالح العمومية لتحقيق الأهداف السياسية </w:t>
      </w:r>
      <w:r w:rsidR="00130404"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والاقتصادية</w:t>
      </w:r>
      <w:r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130404"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والاجتماعية</w:t>
      </w:r>
      <w:r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للجماعات الإقليمية المعنية.</w:t>
      </w:r>
    </w:p>
    <w:p w:rsidR="00BA4730" w:rsidRPr="00782502" w:rsidRDefault="00BA4730" w:rsidP="00782502">
      <w:pPr>
        <w:bidi/>
        <w:spacing w:after="0" w:afterAutospacing="0" w:line="240" w:lineRule="auto"/>
        <w:ind w:left="-58" w:right="142" w:firstLine="567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وللميزانية الجماعات الإقليمية خصائص كغيرها من الميزانيات، على أنها تقديرية، ومرخصة، ودورية، وعلنية، وذو طابع إداري.</w:t>
      </w:r>
    </w:p>
    <w:p w:rsidR="00BA4730" w:rsidRPr="00782502" w:rsidRDefault="00BA4730" w:rsidP="00782502">
      <w:pPr>
        <w:bidi/>
        <w:spacing w:after="0" w:afterAutospacing="0" w:line="240" w:lineRule="auto"/>
        <w:ind w:left="-58" w:right="142" w:firstLine="567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وكذلك لها مبادئ أساسية لابد من </w:t>
      </w:r>
      <w:r w:rsidR="00130404"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احترامها</w:t>
      </w:r>
      <w:r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في كل مراحل إنجازها، والمتمثلة في مبدأ السنوية، مبدأ الوحدة، مبدأ الشمولية، مبدأ عدم التخصيص، ومبدأ التوازن.</w:t>
      </w:r>
    </w:p>
    <w:p w:rsidR="00BA4730" w:rsidRPr="00782502" w:rsidRDefault="00CF0E2E" w:rsidP="00782502">
      <w:pPr>
        <w:bidi/>
        <w:spacing w:after="0" w:afterAutospacing="0" w:line="240" w:lineRule="auto"/>
        <w:ind w:left="-58" w:right="142" w:firstLine="426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تنقسم </w:t>
      </w:r>
      <w:r w:rsidR="00BA4730"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ميزانية الجماعات الإقليمية إلى أقسام وأنواع، قسم التسيير وقسم التجهيز </w:t>
      </w:r>
      <w:r w:rsidR="00130404"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والاستثمار</w:t>
      </w:r>
      <w:r w:rsidR="00BA4730"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أما بالنسبة إلى الأنواع هناك الميزانية الأولية، والميزانية الإضافية، والحساب الإداري.</w:t>
      </w:r>
    </w:p>
    <w:p w:rsidR="00BA4730" w:rsidRPr="00782502" w:rsidRDefault="00BA4730" w:rsidP="00782502">
      <w:pPr>
        <w:bidi/>
        <w:spacing w:after="0" w:afterAutospacing="0" w:line="240" w:lineRule="auto"/>
        <w:ind w:left="-58" w:right="142" w:firstLine="426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ويتم إعدادها من طرف موظفون عموميون، المتمثل في الأمين العام للبلدية تحت سلطة رئيس المجلس الشعبي البلدي بالنسبة لميزانية البلدية، ووالي الولاية بالنسبة لميزانية الولاية.وبعد مصادقة المجالس الشعبية عليها ، يقوم بتنفيذها أعوان مكلفون بذلك وهم الآمر بالصرف والمحاسب العمومي،(رئيس البلدية-والي الولاية) وكذلك (أمين خزينة البلدية </w:t>
      </w:r>
      <w:r w:rsidRPr="00782502">
        <w:rPr>
          <w:rFonts w:ascii="Simplified Arabic" w:hAnsi="Simplified Arabic" w:cs="Simplified Arabic"/>
          <w:sz w:val="32"/>
          <w:szCs w:val="32"/>
          <w:rtl/>
          <w:lang w:bidi="ar-DZ"/>
        </w:rPr>
        <w:t>–</w:t>
      </w:r>
      <w:r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أمين خزينة الولاية).</w:t>
      </w:r>
    </w:p>
    <w:p w:rsidR="00333C6B" w:rsidRPr="00782502" w:rsidRDefault="00BA4730" w:rsidP="00782502">
      <w:pPr>
        <w:bidi/>
        <w:spacing w:after="0" w:afterAutospacing="0" w:line="240" w:lineRule="auto"/>
        <w:ind w:left="-58" w:right="142" w:firstLine="426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إن تنفيذ الميزانية يكون تحت رقابة إدارية وأخري قضائية،وقبلية وبعدية، المراقب المالي والمحاسب العمومي </w:t>
      </w:r>
      <w:r w:rsidR="00130404"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>قبليه</w:t>
      </w:r>
      <w:r w:rsidRPr="0078250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والمفتشية العامة للمالية ومجلس المحاسبة كرقابة بعدية، وتحت رقابة سياسية وإدارية قبل وبعد تنفيذها من خلال المجالس المنتخبة والوصاية الإدارية.</w:t>
      </w:r>
    </w:p>
    <w:p w:rsidR="00782502" w:rsidRDefault="00782502" w:rsidP="009233C2">
      <w:pPr>
        <w:tabs>
          <w:tab w:val="right" w:pos="142"/>
        </w:tabs>
        <w:spacing w:after="0" w:afterAutospacing="0"/>
        <w:ind w:firstLine="993"/>
        <w:jc w:val="both"/>
        <w:rPr>
          <w:rFonts w:asciiTheme="majorBidi" w:hAnsiTheme="majorBidi" w:cstheme="majorBidi"/>
          <w:b/>
          <w:bCs/>
          <w:sz w:val="24"/>
          <w:szCs w:val="24"/>
          <w:u w:val="single"/>
          <w:lang w:bidi="ar-DZ"/>
        </w:rPr>
      </w:pPr>
    </w:p>
    <w:p w:rsidR="00BA4730" w:rsidRPr="00782502" w:rsidRDefault="009233C2" w:rsidP="009233C2">
      <w:pPr>
        <w:tabs>
          <w:tab w:val="right" w:pos="142"/>
        </w:tabs>
        <w:spacing w:after="0" w:afterAutospacing="0"/>
        <w:ind w:firstLine="993"/>
        <w:jc w:val="both"/>
        <w:rPr>
          <w:rFonts w:asciiTheme="majorBidi" w:hAnsiTheme="majorBidi" w:cstheme="majorBidi"/>
          <w:sz w:val="28"/>
          <w:szCs w:val="28"/>
          <w:lang w:bidi="ar-DZ"/>
        </w:rPr>
      </w:pPr>
      <w:r w:rsidRPr="00782502">
        <w:rPr>
          <w:rFonts w:asciiTheme="majorBidi" w:hAnsiTheme="majorBidi" w:cstheme="majorBidi"/>
          <w:b/>
          <w:bCs/>
          <w:sz w:val="28"/>
          <w:szCs w:val="28"/>
          <w:u w:val="single"/>
          <w:lang w:bidi="ar-DZ"/>
        </w:rPr>
        <w:t>Résumé:</w:t>
      </w:r>
      <w:r w:rsidRPr="00782502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 w:rsidR="00F51B40" w:rsidRPr="00782502">
        <w:rPr>
          <w:rFonts w:asciiTheme="majorBidi" w:hAnsiTheme="majorBidi" w:cstheme="majorBidi"/>
          <w:sz w:val="28"/>
          <w:szCs w:val="28"/>
          <w:lang w:bidi="ar-DZ"/>
        </w:rPr>
        <w:t xml:space="preserve">Le </w:t>
      </w:r>
      <w:r w:rsidR="00E953C8" w:rsidRPr="00782502">
        <w:rPr>
          <w:rFonts w:asciiTheme="majorBidi" w:hAnsiTheme="majorBidi" w:cstheme="majorBidi"/>
          <w:sz w:val="28"/>
          <w:szCs w:val="28"/>
          <w:lang w:bidi="ar-DZ"/>
        </w:rPr>
        <w:t>B</w:t>
      </w:r>
      <w:r w:rsidR="00BA4730" w:rsidRPr="00782502">
        <w:rPr>
          <w:rFonts w:asciiTheme="majorBidi" w:hAnsiTheme="majorBidi" w:cstheme="majorBidi"/>
          <w:sz w:val="28"/>
          <w:szCs w:val="28"/>
          <w:lang w:bidi="ar-DZ"/>
        </w:rPr>
        <w:t xml:space="preserve">udget des </w:t>
      </w:r>
      <w:r w:rsidR="00E953C8" w:rsidRPr="00782502">
        <w:rPr>
          <w:rFonts w:asciiTheme="majorBidi" w:hAnsiTheme="majorBidi" w:cstheme="majorBidi"/>
          <w:sz w:val="28"/>
          <w:szCs w:val="28"/>
          <w:lang w:bidi="ar-DZ"/>
        </w:rPr>
        <w:t>collectivités</w:t>
      </w:r>
      <w:r w:rsidR="00BA4730" w:rsidRPr="00782502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 w:rsidR="00E953C8" w:rsidRPr="00782502">
        <w:rPr>
          <w:rFonts w:asciiTheme="majorBidi" w:hAnsiTheme="majorBidi" w:cstheme="majorBidi"/>
          <w:sz w:val="28"/>
          <w:szCs w:val="28"/>
          <w:lang w:bidi="ar-DZ"/>
        </w:rPr>
        <w:t>locales</w:t>
      </w:r>
      <w:r w:rsidR="00BA4730" w:rsidRPr="00782502">
        <w:rPr>
          <w:rFonts w:asciiTheme="majorBidi" w:hAnsiTheme="majorBidi" w:cstheme="majorBidi"/>
          <w:sz w:val="28"/>
          <w:szCs w:val="28"/>
          <w:lang w:bidi="ar-DZ"/>
        </w:rPr>
        <w:t xml:space="preserve"> est un des </w:t>
      </w:r>
      <w:r w:rsidR="00F51B40" w:rsidRPr="00782502">
        <w:rPr>
          <w:rFonts w:asciiTheme="majorBidi" w:hAnsiTheme="majorBidi" w:cstheme="majorBidi"/>
          <w:sz w:val="28"/>
          <w:szCs w:val="28"/>
          <w:lang w:bidi="ar-DZ"/>
        </w:rPr>
        <w:t>pièces</w:t>
      </w:r>
      <w:r w:rsidR="00BA4730" w:rsidRPr="00782502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 w:rsidR="00F51B40" w:rsidRPr="00782502">
        <w:rPr>
          <w:rFonts w:asciiTheme="majorBidi" w:hAnsiTheme="majorBidi" w:cstheme="majorBidi"/>
          <w:sz w:val="28"/>
          <w:szCs w:val="28"/>
          <w:lang w:bidi="ar-DZ"/>
        </w:rPr>
        <w:t>provisoire</w:t>
      </w:r>
      <w:r w:rsidR="00BA4730" w:rsidRPr="00782502">
        <w:rPr>
          <w:rFonts w:asciiTheme="majorBidi" w:hAnsiTheme="majorBidi" w:cstheme="majorBidi"/>
          <w:sz w:val="28"/>
          <w:szCs w:val="28"/>
          <w:lang w:bidi="ar-DZ"/>
        </w:rPr>
        <w:t xml:space="preserve"> pour les dépenses et les revenus, en leur donnant une future période de temps pour les mettre en œuvre, en général un an, un mécanisme important dans la gestion des </w:t>
      </w:r>
      <w:r w:rsidR="00EE3292" w:rsidRPr="00782502">
        <w:rPr>
          <w:rFonts w:asciiTheme="majorBidi" w:hAnsiTheme="majorBidi" w:cstheme="majorBidi"/>
          <w:sz w:val="28"/>
          <w:szCs w:val="28"/>
          <w:lang w:bidi="ar-DZ"/>
        </w:rPr>
        <w:t>services</w:t>
      </w:r>
      <w:r w:rsidR="00BA4730" w:rsidRPr="00782502">
        <w:rPr>
          <w:rFonts w:asciiTheme="majorBidi" w:hAnsiTheme="majorBidi" w:cstheme="majorBidi"/>
          <w:sz w:val="28"/>
          <w:szCs w:val="28"/>
          <w:lang w:bidi="ar-DZ"/>
        </w:rPr>
        <w:t xml:space="preserve"> publics pour atteindre les objectifs politiques, économiques et sociaux des </w:t>
      </w:r>
      <w:r w:rsidR="00E953C8" w:rsidRPr="00782502">
        <w:rPr>
          <w:rFonts w:asciiTheme="majorBidi" w:hAnsiTheme="majorBidi" w:cstheme="majorBidi"/>
          <w:sz w:val="28"/>
          <w:szCs w:val="28"/>
          <w:lang w:bidi="ar-DZ"/>
        </w:rPr>
        <w:t>collectivités locales</w:t>
      </w:r>
      <w:r w:rsidR="00BA4730" w:rsidRPr="00782502">
        <w:rPr>
          <w:rFonts w:asciiTheme="majorBidi" w:hAnsiTheme="majorBidi" w:cstheme="majorBidi"/>
          <w:sz w:val="28"/>
          <w:szCs w:val="28"/>
          <w:lang w:bidi="ar-DZ"/>
        </w:rPr>
        <w:t xml:space="preserve"> concernés.</w:t>
      </w:r>
    </w:p>
    <w:p w:rsidR="00BA4730" w:rsidRPr="00782502" w:rsidRDefault="00782502" w:rsidP="00782502">
      <w:pPr>
        <w:spacing w:after="0" w:afterAutospacing="0"/>
        <w:ind w:right="-523"/>
        <w:rPr>
          <w:rFonts w:asciiTheme="majorBidi" w:hAnsiTheme="majorBidi" w:cstheme="majorBidi"/>
          <w:sz w:val="28"/>
          <w:szCs w:val="28"/>
          <w:lang w:bidi="ar-DZ"/>
        </w:rPr>
      </w:pPr>
      <w:r w:rsidRPr="00782502">
        <w:rPr>
          <w:rFonts w:asciiTheme="majorBidi" w:hAnsiTheme="majorBidi" w:cstheme="majorBidi"/>
          <w:sz w:val="28"/>
          <w:szCs w:val="28"/>
          <w:lang w:bidi="ar-DZ"/>
        </w:rPr>
        <w:t xml:space="preserve">              </w:t>
      </w:r>
      <w:r w:rsidR="00BA4730" w:rsidRPr="00782502">
        <w:rPr>
          <w:rFonts w:asciiTheme="majorBidi" w:hAnsiTheme="majorBidi" w:cstheme="majorBidi"/>
          <w:sz w:val="28"/>
          <w:szCs w:val="28"/>
          <w:lang w:bidi="ar-DZ"/>
        </w:rPr>
        <w:t xml:space="preserve">Et le budget des </w:t>
      </w:r>
      <w:r w:rsidR="00DF1A80" w:rsidRPr="00782502">
        <w:rPr>
          <w:rFonts w:asciiTheme="majorBidi" w:hAnsiTheme="majorBidi" w:cstheme="majorBidi"/>
          <w:sz w:val="28"/>
          <w:szCs w:val="28"/>
          <w:lang w:bidi="ar-DZ"/>
        </w:rPr>
        <w:t>collectivités locales</w:t>
      </w:r>
      <w:r w:rsidR="00BA4730" w:rsidRPr="00782502">
        <w:rPr>
          <w:rFonts w:asciiTheme="majorBidi" w:hAnsiTheme="majorBidi" w:cstheme="majorBidi"/>
          <w:sz w:val="28"/>
          <w:szCs w:val="28"/>
          <w:lang w:bidi="ar-DZ"/>
        </w:rPr>
        <w:t xml:space="preserve"> comme les caractéristiques des budgets discrétionnaires, sous licence, et périodiquement, et le public, et a un caractère administratif.</w:t>
      </w:r>
      <w:r w:rsidRPr="00782502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 w:rsidR="00BA4730" w:rsidRPr="00782502">
        <w:rPr>
          <w:rFonts w:asciiTheme="majorBidi" w:hAnsiTheme="majorBidi" w:cstheme="majorBidi"/>
          <w:sz w:val="28"/>
          <w:szCs w:val="28"/>
          <w:lang w:bidi="ar-DZ"/>
        </w:rPr>
        <w:t xml:space="preserve">Ainsi que ses principes de base doivent être respectés à tous les </w:t>
      </w:r>
      <w:r w:rsidR="00F91EC2" w:rsidRPr="00782502">
        <w:rPr>
          <w:rFonts w:asciiTheme="majorBidi" w:hAnsiTheme="majorBidi" w:cstheme="majorBidi"/>
          <w:sz w:val="28"/>
          <w:szCs w:val="28"/>
          <w:lang w:bidi="ar-DZ"/>
        </w:rPr>
        <w:t>durée</w:t>
      </w:r>
      <w:r w:rsidR="00BA4730" w:rsidRPr="00782502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 w:rsidR="00F91EC2" w:rsidRPr="00782502">
        <w:rPr>
          <w:rFonts w:asciiTheme="majorBidi" w:hAnsiTheme="majorBidi" w:cstheme="majorBidi"/>
          <w:sz w:val="28"/>
          <w:szCs w:val="28"/>
          <w:lang w:bidi="ar-DZ"/>
        </w:rPr>
        <w:t>de réalisation</w:t>
      </w:r>
      <w:r w:rsidR="00BA4730" w:rsidRPr="00782502">
        <w:rPr>
          <w:rFonts w:asciiTheme="majorBidi" w:hAnsiTheme="majorBidi" w:cstheme="majorBidi"/>
          <w:sz w:val="28"/>
          <w:szCs w:val="28"/>
          <w:lang w:bidi="ar-DZ"/>
        </w:rPr>
        <w:t>, et du principe annuel, le principe de l'unité, le principe de l'universalité, le principe de non-allocation, et le principe de l'équilibre.</w:t>
      </w:r>
    </w:p>
    <w:p w:rsidR="00BA4730" w:rsidRPr="00782502" w:rsidRDefault="00F837FF" w:rsidP="00F837FF">
      <w:pPr>
        <w:spacing w:after="0" w:afterAutospacing="0"/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</w:pPr>
      <w:r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              </w:t>
      </w:r>
      <w:r w:rsidR="00333C6B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C</w:t>
      </w:r>
      <w:r w:rsidR="00DF1A8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ollectivités locales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en sections budgétaires et types sont divisés, le </w:t>
      </w:r>
      <w:r w:rsidR="00E76254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budget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de gestion</w:t>
      </w:r>
      <w:r w:rsidR="00E76254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, budget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d</w:t>
      </w:r>
      <w:r w:rsidR="00F0399B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'équipement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et de l'investissement</w:t>
      </w:r>
      <w:r w:rsidR="00E76254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public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, mais pour </w:t>
      </w:r>
      <w:r w:rsidR="00E76254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les types</w:t>
      </w:r>
      <w:r w:rsidR="00F0399B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,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il y a le budget initial, le budget supplémentaire, </w:t>
      </w:r>
      <w:r w:rsidR="00F0399B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et 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le compte administratif.</w:t>
      </w:r>
    </w:p>
    <w:p w:rsidR="00782502" w:rsidRDefault="00F837FF" w:rsidP="00F837FF">
      <w:pPr>
        <w:spacing w:after="0" w:afterAutospacing="0"/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</w:pPr>
      <w:r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           </w:t>
      </w:r>
    </w:p>
    <w:p w:rsidR="00782502" w:rsidRDefault="00782502" w:rsidP="00782502">
      <w:pPr>
        <w:spacing w:after="0" w:afterAutospacing="0"/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lastRenderedPageBreak/>
        <w:t>.../…</w:t>
      </w:r>
    </w:p>
    <w:p w:rsidR="00BA4730" w:rsidRPr="00782502" w:rsidRDefault="00782502" w:rsidP="00434C35">
      <w:pPr>
        <w:spacing w:after="0" w:afterAutospacing="0"/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            </w:t>
      </w:r>
      <w:r w:rsidR="00F837FF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Et sont préparés par des fonctionnaires, représenté par le </w:t>
      </w:r>
      <w:r w:rsidR="00434C35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Secrétaire 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général de la </w:t>
      </w:r>
      <w:r w:rsidR="00EE3292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commune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sous l'autorité du président </w:t>
      </w:r>
      <w:r w:rsidR="00EE3292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d'APC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pour le budget </w:t>
      </w:r>
      <w:r w:rsidR="00EE3292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communal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, et le </w:t>
      </w:r>
      <w:r w:rsidR="00F0399B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Wali 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pour le budget </w:t>
      </w:r>
      <w:r w:rsidR="00F0399B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de</w:t>
      </w:r>
      <w:r w:rsidR="00EE3292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la</w:t>
      </w:r>
      <w:r w:rsidR="00F0399B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Wilaya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, mis en œuvre par les agents sont mandatés pour le faire qu'ils certifient </w:t>
      </w:r>
      <w:r w:rsidR="00D223B4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l'ordonnateur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, (le maire-</w:t>
      </w:r>
      <w:r w:rsidR="00E953C8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le 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Wali) ainsi que</w:t>
      </w:r>
      <w:r w:rsidR="00D223B4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le comptable public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(Trésor</w:t>
      </w:r>
      <w:r w:rsidR="00E953C8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ier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</w:t>
      </w:r>
      <w:r w:rsidR="00E953C8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communal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- </w:t>
      </w:r>
      <w:r w:rsidR="00E953C8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T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résorier de </w:t>
      </w:r>
      <w:r w:rsidR="00E953C8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Wilaya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).</w:t>
      </w:r>
      <w:r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</w:t>
      </w:r>
    </w:p>
    <w:p w:rsidR="00BA4730" w:rsidRPr="00782502" w:rsidRDefault="00F837FF" w:rsidP="009233C2">
      <w:pPr>
        <w:spacing w:after="0" w:afterAutospacing="0"/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</w:pPr>
      <w:r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             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La mise en œuvre du budget est sous le contrôle administratif et autre judiciaire, </w:t>
      </w:r>
      <w:r w:rsidR="00D223B4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le 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comptable </w:t>
      </w:r>
      <w:r w:rsidR="00D223B4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public et le contrôleur Financier avant l'exécution , 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et l'Inspection des Finances et le C</w:t>
      </w:r>
      <w:r w:rsidR="00EE3292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ours du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compt</w:t>
      </w:r>
      <w:r w:rsidR="00EE3292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e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</w:t>
      </w:r>
      <w:r w:rsidR="00D223B4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après l'exécution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, sous le contrôle politique et administratif avant et après l</w:t>
      </w:r>
      <w:r w:rsidR="00F51B4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>'exécution</w:t>
      </w:r>
      <w:r w:rsidR="00BA4730" w:rsidRPr="00782502">
        <w:rPr>
          <w:rFonts w:asciiTheme="majorBidi" w:hAnsiTheme="majorBidi" w:cstheme="majorBidi"/>
          <w:color w:val="000000" w:themeColor="text1"/>
          <w:sz w:val="28"/>
          <w:szCs w:val="28"/>
          <w:lang w:bidi="ar-DZ"/>
        </w:rPr>
        <w:t xml:space="preserve"> par des conseils élus et la tutelle administrative.</w:t>
      </w:r>
    </w:p>
    <w:p w:rsidR="00BA4730" w:rsidRPr="009457C6" w:rsidRDefault="00BA4730" w:rsidP="00F837FF">
      <w:pPr>
        <w:spacing w:after="0" w:afterAutospacing="0"/>
        <w:rPr>
          <w:rFonts w:asciiTheme="majorBidi" w:hAnsiTheme="majorBidi" w:cstheme="majorBidi"/>
          <w:sz w:val="24"/>
          <w:szCs w:val="24"/>
          <w:lang w:bidi="ar-DZ"/>
        </w:rPr>
      </w:pPr>
    </w:p>
    <w:sectPr w:rsidR="00BA4730" w:rsidRPr="009457C6" w:rsidSect="00537517">
      <w:headerReference w:type="default" r:id="rId6"/>
      <w:footerReference w:type="default" r:id="rId7"/>
      <w:pgSz w:w="11906" w:h="16838"/>
      <w:pgMar w:top="510" w:right="1077" w:bottom="624" w:left="720" w:header="709" w:footer="709" w:gutter="0"/>
      <w:pgNumType w:start="79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1CDC" w:rsidRDefault="00501CDC" w:rsidP="0056114C">
      <w:pPr>
        <w:spacing w:after="0" w:line="240" w:lineRule="auto"/>
      </w:pPr>
      <w:r>
        <w:separator/>
      </w:r>
    </w:p>
  </w:endnote>
  <w:endnote w:type="continuationSeparator" w:id="0">
    <w:p w:rsidR="00501CDC" w:rsidRDefault="00501CDC" w:rsidP="005611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7203"/>
      <w:docPartObj>
        <w:docPartGallery w:val="Page Numbers (Bottom of Page)"/>
        <w:docPartUnique/>
      </w:docPartObj>
    </w:sdtPr>
    <w:sdtContent>
      <w:p w:rsidR="00537517" w:rsidRDefault="00103E72">
        <w:pPr>
          <w:pStyle w:val="a4"/>
        </w:pPr>
        <w:r w:rsidRPr="00103E72">
          <w:rPr>
            <w:rFonts w:asciiTheme="majorHAnsi" w:hAnsiTheme="majorHAnsi"/>
            <w:noProof/>
            <w:sz w:val="28"/>
            <w:szCs w:val="28"/>
            <w:lang w:eastAsia="zh-TW"/>
          </w:rPr>
          <w:pict>
            <v:shapetype id="_x0000_t107" coordsize="21600,21600" o:spt="107" adj="5400,5400,18900" path="ar@9@38@8@37,0@27@0@26@9@13@8@4@0@25@22@25@9@38@8@37@22@26@3@27l@7@40@3,wa@9@35@8@10@3,0@21@33@9@36@8@1@21@31@20@31@9@35@8@10@20@33,,l@5@40xewr@9@36@8@1@20@31@0@32nfl@20@33ear@9@36@8@1@21@31@22@32nfl@21@33em@0@26nfl@0@32em@22@26nfl@22@32e">
              <v:formulas>
                <v:f eqn="val #0"/>
                <v:f eqn="val #1"/>
                <v:f eqn="val #2"/>
                <v:f eqn="val width"/>
                <v:f eqn="val height"/>
                <v:f eqn="prod width 1 8"/>
                <v:f eqn="prod width 1 2"/>
                <v:f eqn="prod width 7 8"/>
                <v:f eqn="prod width 3 2"/>
                <v:f eqn="sum 0 0 @6"/>
                <v:f eqn="sum height 0 #2"/>
                <v:f eqn="prod @10 30573 4096"/>
                <v:f eqn="prod @11 2 1"/>
                <v:f eqn="sum height 0 @12"/>
                <v:f eqn="sum @11 #2 0"/>
                <v:f eqn="sum @11 height #1"/>
                <v:f eqn="sum height 0 #1"/>
                <v:f eqn="prod @16 1 2"/>
                <v:f eqn="sum @11 @17 0"/>
                <v:f eqn="sum @14 #1 height"/>
                <v:f eqn="sum #0 @5 0"/>
                <v:f eqn="sum width 0 @20"/>
                <v:f eqn="sum width 0 #0"/>
                <v:f eqn="sum @6 0 #0"/>
                <v:f eqn="ellipse @23 width @11"/>
                <v:f eqn="sum @24 height @11"/>
                <v:f eqn="sum @25 @11 @19"/>
                <v:f eqn="sum #2 @11 @19"/>
                <v:f eqn="prod @11 2391 32768"/>
                <v:f eqn="sum @6 0 @20"/>
                <v:f eqn="ellipse @29 width @11"/>
                <v:f eqn="sum #1 @30 @11"/>
                <v:f eqn="sum @25 #1 height"/>
                <v:f eqn="sum height @30 @14"/>
                <v:f eqn="sum @11 @14 0"/>
                <v:f eqn="sum height 0 @34"/>
                <v:f eqn="sum @35 @19 @11"/>
                <v:f eqn="sum @10 @15 @11"/>
                <v:f eqn="sum @35 @15 @11"/>
                <v:f eqn="sum @28 @14 @18"/>
                <v:f eqn="sum height 0 @39"/>
                <v:f eqn="sum @19 0 @18"/>
                <v:f eqn="prod @41 2 3"/>
                <v:f eqn="sum #1 0 @42"/>
                <v:f eqn="sum #2 0 @42"/>
                <v:f eqn="min @44 20925"/>
                <v:f eqn="prod width 3 8"/>
                <v:f eqn="sum @46 0 4"/>
              </v:formulas>
              <v:path o:extrusionok="f" o:connecttype="custom" o:connectlocs="@6,@1;@5,@40;@6,@4;@7,@40" o:connectangles="270,180,90,0" textboxrect="@0,@1,@22,@25"/>
              <v:handles>
                <v:h position="#0,bottomRight" xrange="@5,@47"/>
                <v:h position="center,#1" yrange="@10,@43"/>
                <v:h position="topLeft,#2" yrange="@27,@45"/>
              </v:handles>
              <o:complex v:ext="view"/>
            </v:shapetype>
            <v:shape id="_x0000_s2049" type="#_x0000_t107" style="position:absolute;margin-left:0;margin-top:0;width:101pt;height:27.05pt;rotation:360;flip:x;z-index:251660288;mso-position-horizontal:center;mso-position-horizontal-relative:margin;mso-position-vertical:center;mso-position-vertical-relative:bottom-margin-area" filled="f" fillcolor="#17365d [2415]" strokecolor="#71a0dc [1631]">
              <v:textbox style="mso-next-textbox:#_x0000_s2049">
                <w:txbxContent>
                  <w:p w:rsidR="00537517" w:rsidRDefault="00103E72">
                    <w:pPr>
                      <w:jc w:val="center"/>
                      <w:rPr>
                        <w:color w:val="4F81BD" w:themeColor="accent1"/>
                      </w:rPr>
                    </w:pPr>
                    <w:fldSimple w:instr=" PAGE    \* MERGEFORMAT ">
                      <w:r w:rsidR="00434C35" w:rsidRPr="00434C35">
                        <w:rPr>
                          <w:rFonts w:cs="Calibri"/>
                          <w:noProof/>
                          <w:color w:val="4F81BD" w:themeColor="accent1"/>
                          <w:lang w:val="ar-SA"/>
                        </w:rPr>
                        <w:t>79</w:t>
                      </w:r>
                    </w:fldSimple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1CDC" w:rsidRDefault="00501CDC" w:rsidP="0056114C">
      <w:pPr>
        <w:spacing w:after="0" w:line="240" w:lineRule="auto"/>
      </w:pPr>
      <w:r>
        <w:separator/>
      </w:r>
    </w:p>
  </w:footnote>
  <w:footnote w:type="continuationSeparator" w:id="0">
    <w:p w:rsidR="00501CDC" w:rsidRDefault="00501CDC" w:rsidP="005611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العنوان"/>
      <w:id w:val="77738743"/>
      <w:placeholder>
        <w:docPart w:val="BAF3E3246DD942B18DC3B7D86C898572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56114C" w:rsidRDefault="0056114C" w:rsidP="00537517">
        <w:pPr>
          <w:pStyle w:val="a3"/>
          <w:pBdr>
            <w:bottom w:val="thickThinSmallGap" w:sz="24" w:space="1" w:color="622423" w:themeColor="accent2" w:themeShade="7F"/>
          </w:pBdr>
          <w:jc w:val="right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 w:hint="cs"/>
            <w:sz w:val="32"/>
            <w:szCs w:val="32"/>
            <w:rtl/>
          </w:rPr>
          <w:t>مـلخـص</w:t>
        </w:r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BA4730"/>
    <w:rsid w:val="000A7FBB"/>
    <w:rsid w:val="000C068A"/>
    <w:rsid w:val="00103E72"/>
    <w:rsid w:val="00122E8F"/>
    <w:rsid w:val="00130404"/>
    <w:rsid w:val="00251399"/>
    <w:rsid w:val="00333C6B"/>
    <w:rsid w:val="00381E09"/>
    <w:rsid w:val="00434C35"/>
    <w:rsid w:val="00475F9B"/>
    <w:rsid w:val="00487927"/>
    <w:rsid w:val="004A3C57"/>
    <w:rsid w:val="00501CDC"/>
    <w:rsid w:val="00537517"/>
    <w:rsid w:val="00560FE5"/>
    <w:rsid w:val="0056114C"/>
    <w:rsid w:val="00562E4A"/>
    <w:rsid w:val="005B53F9"/>
    <w:rsid w:val="006C25C3"/>
    <w:rsid w:val="00782502"/>
    <w:rsid w:val="00824D25"/>
    <w:rsid w:val="00897B9C"/>
    <w:rsid w:val="008D785C"/>
    <w:rsid w:val="009233C2"/>
    <w:rsid w:val="009457C6"/>
    <w:rsid w:val="00B7447A"/>
    <w:rsid w:val="00BA4730"/>
    <w:rsid w:val="00BC6A6F"/>
    <w:rsid w:val="00C633A0"/>
    <w:rsid w:val="00CF0E2E"/>
    <w:rsid w:val="00D223B4"/>
    <w:rsid w:val="00D35B09"/>
    <w:rsid w:val="00DF1A80"/>
    <w:rsid w:val="00E76254"/>
    <w:rsid w:val="00E953C8"/>
    <w:rsid w:val="00EE3292"/>
    <w:rsid w:val="00F0399B"/>
    <w:rsid w:val="00F130C8"/>
    <w:rsid w:val="00F51B40"/>
    <w:rsid w:val="00F837FF"/>
    <w:rsid w:val="00F91E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00" w:afterAutospacing="1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79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6114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rsid w:val="0056114C"/>
  </w:style>
  <w:style w:type="paragraph" w:styleId="a4">
    <w:name w:val="footer"/>
    <w:basedOn w:val="a"/>
    <w:link w:val="Char0"/>
    <w:uiPriority w:val="99"/>
    <w:semiHidden/>
    <w:unhideWhenUsed/>
    <w:rsid w:val="0056114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semiHidden/>
    <w:rsid w:val="0056114C"/>
  </w:style>
  <w:style w:type="paragraph" w:styleId="a5">
    <w:name w:val="Balloon Text"/>
    <w:basedOn w:val="a"/>
    <w:link w:val="Char1"/>
    <w:uiPriority w:val="99"/>
    <w:semiHidden/>
    <w:unhideWhenUsed/>
    <w:rsid w:val="005611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56114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AF3E3246DD942B18DC3B7D86C898572"/>
        <w:category>
          <w:name w:val="عام"/>
          <w:gallery w:val="placeholder"/>
        </w:category>
        <w:types>
          <w:type w:val="bbPlcHdr"/>
        </w:types>
        <w:behaviors>
          <w:behavior w:val="content"/>
        </w:behaviors>
        <w:guid w:val="{68561D74-C2FF-4614-AF55-1B01A0787252}"/>
      </w:docPartPr>
      <w:docPartBody>
        <w:p w:rsidR="00203FBC" w:rsidRDefault="001D4A06" w:rsidP="001D4A06">
          <w:pPr>
            <w:pStyle w:val="BAF3E3246DD942B18DC3B7D86C898572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lang w:val="ar-SA"/>
            </w:rPr>
            <w:t>[اكتب عنوان المستند]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1D4A06"/>
    <w:rsid w:val="001D4A06"/>
    <w:rsid w:val="00203F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3FB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AF3E3246DD942B18DC3B7D86C898572">
    <w:name w:val="BAF3E3246DD942B18DC3B7D86C898572"/>
    <w:rsid w:val="001D4A06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458</Words>
  <Characters>2617</Characters>
  <Application>Microsoft Office Word</Application>
  <DocSecurity>0</DocSecurity>
  <Lines>21</Lines>
  <Paragraphs>6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Galaxynet</Company>
  <LinksUpToDate>false</LinksUpToDate>
  <CharactersWithSpaces>3069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مـلخـص</dc:title>
  <dc:creator>Med</dc:creator>
  <cp:lastModifiedBy>NEW  STAR</cp:lastModifiedBy>
  <cp:revision>9</cp:revision>
  <cp:lastPrinted>2017-06-10T00:17:00Z</cp:lastPrinted>
  <dcterms:created xsi:type="dcterms:W3CDTF">2017-06-08T22:16:00Z</dcterms:created>
  <dcterms:modified xsi:type="dcterms:W3CDTF">2017-06-10T11:42:00Z</dcterms:modified>
</cp:coreProperties>
</file>